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44"/>
          <w:szCs w:val="30"/>
          <w:lang w:val="en-US" w:eastAsia="zh-CN"/>
        </w:rPr>
      </w:pPr>
      <w:r>
        <w:rPr>
          <w:rFonts w:hint="eastAsia"/>
          <w:b/>
          <w:sz w:val="44"/>
          <w:szCs w:val="30"/>
        </w:rPr>
        <w:t>四川现代医院</w:t>
      </w:r>
      <w:r>
        <w:rPr>
          <w:rFonts w:hint="eastAsia"/>
          <w:b/>
          <w:sz w:val="44"/>
          <w:szCs w:val="30"/>
          <w:lang w:val="en-US" w:eastAsia="zh-CN"/>
        </w:rPr>
        <w:t>招聘简章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left"/>
        <w:textAlignment w:val="auto"/>
        <w:rPr>
          <w:rFonts w:hint="eastAsia" w:ascii="仿宋" w:hAnsi="仿宋" w:eastAsia="仿宋" w:cs="仿宋"/>
          <w:b/>
          <w:bCs/>
          <w:sz w:val="36"/>
          <w:szCs w:val="36"/>
        </w:rPr>
      </w:pPr>
      <w:r>
        <w:rPr>
          <w:rFonts w:hint="eastAsia" w:ascii="仿宋" w:hAnsi="仿宋" w:eastAsia="仿宋" w:cs="仿宋"/>
          <w:b/>
          <w:bCs/>
          <w:color w:val="000000"/>
          <w:sz w:val="36"/>
          <w:szCs w:val="36"/>
          <w:lang w:val="en-US" w:eastAsia="zh-CN"/>
        </w:rPr>
        <w:t>一、四川现代医院简介</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sz w:val="30"/>
          <w:szCs w:val="30"/>
        </w:rPr>
        <w:t>四川现代医院坐落于国家历史文化名城——“天府之国”成都市，是一所集</w:t>
      </w:r>
      <w:r>
        <w:rPr>
          <w:rFonts w:hint="eastAsia" w:ascii="仿宋" w:hAnsi="仿宋" w:eastAsia="仿宋" w:cs="仿宋"/>
          <w:b/>
          <w:bCs/>
          <w:sz w:val="30"/>
          <w:szCs w:val="30"/>
        </w:rPr>
        <w:t>医疗、教学、科研、预防、保健和医养融合</w:t>
      </w:r>
      <w:r>
        <w:rPr>
          <w:rFonts w:hint="eastAsia" w:ascii="仿宋" w:hAnsi="仿宋" w:eastAsia="仿宋" w:cs="仿宋"/>
          <w:sz w:val="30"/>
          <w:szCs w:val="30"/>
        </w:rPr>
        <w:t>服务为一体的三级综合性医院。</w:t>
      </w:r>
      <w:r>
        <w:rPr>
          <w:rFonts w:hint="eastAsia" w:ascii="仿宋" w:hAnsi="仿宋" w:eastAsia="仿宋" w:cs="仿宋"/>
          <w:sz w:val="30"/>
          <w:szCs w:val="30"/>
          <w:lang w:eastAsia="zh-CN"/>
        </w:rPr>
        <w:t>建院</w:t>
      </w:r>
      <w:r>
        <w:rPr>
          <w:rFonts w:hint="eastAsia" w:ascii="仿宋" w:hAnsi="仿宋" w:eastAsia="仿宋" w:cs="仿宋"/>
          <w:sz w:val="30"/>
          <w:szCs w:val="30"/>
          <w:lang w:val="en-US" w:eastAsia="zh-CN"/>
        </w:rPr>
        <w:t>17年有余，</w:t>
      </w:r>
      <w:r>
        <w:rPr>
          <w:rFonts w:hint="eastAsia" w:ascii="仿宋" w:hAnsi="仿宋" w:eastAsia="仿宋" w:cs="仿宋"/>
          <w:sz w:val="30"/>
          <w:szCs w:val="30"/>
        </w:rPr>
        <w:t>连续两年荣获中国医院协会“全国诚信民营医院”荣誉称号；连续</w:t>
      </w:r>
      <w:r>
        <w:rPr>
          <w:rFonts w:hint="eastAsia" w:ascii="仿宋" w:hAnsi="仿宋" w:eastAsia="仿宋" w:cs="仿宋"/>
          <w:sz w:val="30"/>
          <w:szCs w:val="30"/>
          <w:lang w:val="en-US" w:eastAsia="zh-CN"/>
        </w:rPr>
        <w:t>六</w:t>
      </w:r>
      <w:r>
        <w:rPr>
          <w:rFonts w:hint="eastAsia" w:ascii="仿宋" w:hAnsi="仿宋" w:eastAsia="仿宋" w:cs="仿宋"/>
          <w:sz w:val="30"/>
          <w:szCs w:val="30"/>
        </w:rPr>
        <w:t>年被香港艾力彼医院管理研究中心评为“中国非公立医院·竞争力100强”。</w:t>
      </w:r>
      <w:r>
        <w:rPr>
          <w:rFonts w:hint="eastAsia" w:ascii="仿宋" w:hAnsi="仿宋" w:eastAsia="仿宋" w:cs="仿宋"/>
          <w:color w:val="000000"/>
          <w:sz w:val="30"/>
          <w:szCs w:val="30"/>
        </w:rPr>
        <w:t>医院现有武侯、高新两大院区，武侯院区（本部）位于成都市武侯区武兴一路118号；高新院区位于成都市高新区中和街道仁和路713号。“一院两区”犹如腾飞的双翼，正承载着全院职工共筑健康中国的梦想展翅翱翔。</w:t>
      </w:r>
    </w:p>
    <w:p>
      <w:pPr>
        <w:rPr>
          <w:rFonts w:hint="eastAsia" w:ascii="仿宋" w:hAnsi="仿宋" w:eastAsia="仿宋" w:cs="仿宋"/>
          <w:sz w:val="30"/>
          <w:szCs w:val="30"/>
        </w:rPr>
      </w:pPr>
      <w:r>
        <w:rPr>
          <w:rFonts w:hint="eastAsia" w:eastAsia="宋体"/>
          <w:lang w:eastAsia="zh-CN"/>
        </w:rPr>
        <w:drawing>
          <wp:inline distT="0" distB="0" distL="114300" distR="114300">
            <wp:extent cx="5341620" cy="3512820"/>
            <wp:effectExtent l="0" t="0" r="11430" b="11430"/>
            <wp:docPr id="1" name="图片 1" descr="512dbbc97d327695c0c87e365f9e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2dbbc97d327695c0c87e365f9e64c"/>
                    <pic:cNvPicPr>
                      <a:picLocks noChangeAspect="1"/>
                    </pic:cNvPicPr>
                  </pic:nvPicPr>
                  <pic:blipFill>
                    <a:blip r:embed="rId4"/>
                    <a:stretch>
                      <a:fillRect/>
                    </a:stretch>
                  </pic:blipFill>
                  <pic:spPr>
                    <a:xfrm>
                      <a:off x="0" y="0"/>
                      <a:ext cx="5341620" cy="3512820"/>
                    </a:xfrm>
                    <a:prstGeom prst="rect">
                      <a:avLst/>
                    </a:prstGeom>
                  </pic:spPr>
                </pic:pic>
              </a:graphicData>
            </a:graphic>
          </wp:inline>
        </w:drawing>
      </w:r>
    </w:p>
    <w:p>
      <w:pPr>
        <w:jc w:val="center"/>
        <w:rPr>
          <w:rFonts w:hint="eastAsia"/>
          <w:sz w:val="30"/>
          <w:szCs w:val="30"/>
          <w:lang w:val="en-US" w:eastAsia="zh-CN"/>
        </w:rPr>
      </w:pPr>
      <w:r>
        <w:rPr>
          <w:rFonts w:hint="eastAsia"/>
          <w:sz w:val="30"/>
          <w:szCs w:val="30"/>
          <w:lang w:val="en-US" w:eastAsia="zh-CN"/>
        </w:rPr>
        <w:t>武侯院区</w:t>
      </w:r>
    </w:p>
    <w:p>
      <w:pPr>
        <w:rPr>
          <w:rFonts w:hint="eastAsia"/>
          <w:lang w:val="en-US" w:eastAsia="zh-CN"/>
        </w:rPr>
      </w:pPr>
    </w:p>
    <w:p>
      <w:pPr>
        <w:rPr>
          <w:rFonts w:hint="default"/>
          <w:lang w:val="en-US" w:eastAsia="zh-CN"/>
        </w:rPr>
      </w:pPr>
      <w:r>
        <w:rPr>
          <w:rFonts w:hint="default"/>
          <w:lang w:val="en-US" w:eastAsia="zh-CN"/>
        </w:rPr>
        <w:drawing>
          <wp:inline distT="0" distB="0" distL="114300" distR="114300">
            <wp:extent cx="5221605" cy="3210560"/>
            <wp:effectExtent l="0" t="0" r="17145" b="8890"/>
            <wp:docPr id="2" name="图片 2" descr="6c47999b245afe3e2ac6d623cbb45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47999b245afe3e2ac6d623cbb45e3"/>
                    <pic:cNvPicPr>
                      <a:picLocks noChangeAspect="1"/>
                    </pic:cNvPicPr>
                  </pic:nvPicPr>
                  <pic:blipFill>
                    <a:blip r:embed="rId5"/>
                    <a:stretch>
                      <a:fillRect/>
                    </a:stretch>
                  </pic:blipFill>
                  <pic:spPr>
                    <a:xfrm>
                      <a:off x="0" y="0"/>
                      <a:ext cx="5221605" cy="3210560"/>
                    </a:xfrm>
                    <a:prstGeom prst="rect">
                      <a:avLst/>
                    </a:prstGeom>
                  </pic:spPr>
                </pic:pic>
              </a:graphicData>
            </a:graphic>
          </wp:inline>
        </w:drawing>
      </w:r>
    </w:p>
    <w:p>
      <w:pPr>
        <w:jc w:val="center"/>
        <w:rPr>
          <w:rFonts w:hint="eastAsia"/>
          <w:sz w:val="30"/>
          <w:szCs w:val="30"/>
          <w:lang w:val="en-US" w:eastAsia="zh-CN"/>
        </w:rPr>
      </w:pPr>
      <w:r>
        <w:rPr>
          <w:rFonts w:hint="eastAsia"/>
          <w:sz w:val="30"/>
          <w:szCs w:val="30"/>
          <w:lang w:val="en-US" w:eastAsia="zh-CN"/>
        </w:rPr>
        <w:t>高新院区</w:t>
      </w:r>
    </w:p>
    <w:p>
      <w:pPr>
        <w:numPr>
          <w:ilvl w:val="0"/>
          <w:numId w:val="1"/>
        </w:numPr>
        <w:rPr>
          <w:rFonts w:hint="eastAsia"/>
          <w:b/>
          <w:bCs/>
          <w:sz w:val="36"/>
          <w:szCs w:val="36"/>
          <w:lang w:val="en-US" w:eastAsia="zh-CN"/>
        </w:rPr>
      </w:pPr>
      <w:r>
        <w:rPr>
          <w:rFonts w:hint="eastAsia"/>
          <w:b/>
          <w:bCs/>
          <w:sz w:val="36"/>
          <w:szCs w:val="36"/>
          <w:lang w:val="en-US" w:eastAsia="zh-CN"/>
        </w:rPr>
        <w:t>招聘岗位和要求</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为加强医院人才梯队建设，为满足医院的发展，我院按照“公开、平等、竞争、择优”的原则，以及结合我院实际工作情况，现计划面向全国招聘一批优秀的专业卫生技术人才，</w:t>
      </w:r>
      <w:r>
        <w:rPr>
          <w:rFonts w:hint="eastAsia" w:ascii="仿宋" w:hAnsi="仿宋" w:eastAsia="仿宋" w:cs="仿宋"/>
          <w:b/>
          <w:bCs/>
          <w:color w:val="FF0000"/>
          <w:sz w:val="30"/>
          <w:szCs w:val="30"/>
          <w:lang w:val="en-US" w:eastAsia="zh-CN"/>
        </w:rPr>
        <w:t>同时大量招聘各临床专业和医疗管理相关专业的应往届博士研究生和硕士研究生，有相关专业工作经验优先，待遇从优。</w:t>
      </w:r>
      <w:r>
        <w:rPr>
          <w:rFonts w:hint="eastAsia" w:ascii="仿宋" w:hAnsi="仿宋" w:eastAsia="仿宋" w:cs="仿宋"/>
          <w:sz w:val="30"/>
          <w:szCs w:val="30"/>
          <w:lang w:val="en-US" w:eastAsia="zh-CN"/>
        </w:rPr>
        <w:t>具体岗位如下：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046"/>
        <w:gridCol w:w="2563"/>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拟聘科室</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职称要求</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专业要求</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神经内科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神经内科学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神经内科学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消化内科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消化内科学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呼吸内科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呼吸内科学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心血管内科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副高以及上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心内科学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介入科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肾内科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肾内科学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内分泌科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内分泌科学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top"/>
          </w:tcPr>
          <w:p>
            <w:pP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top"/>
          </w:tcPr>
          <w:p>
            <w:pP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老年病科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内科</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5-8人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中医内科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中医内科学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中医内科学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中医骨科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中医骨科学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noWrap w:val="0"/>
            <w:vAlign w:val="center"/>
          </w:tcPr>
          <w:p>
            <w:pPr>
              <w:jc w:val="both"/>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中医骨科学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妇产科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妇产科学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临床/妇产科学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临床/妇产科学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儿科/新生儿科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儿科学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临床/儿科学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临床/儿科学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普通外科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普外科学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普外科学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普外科学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神经外科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神经外科学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神经外科学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神经外科学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胸外科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胸外科学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泌尿外科</w:t>
            </w:r>
          </w:p>
        </w:tc>
        <w:tc>
          <w:tcPr>
            <w:tcW w:w="2046"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副高及以上</w:t>
            </w:r>
          </w:p>
        </w:tc>
        <w:tc>
          <w:tcPr>
            <w:tcW w:w="2563"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泌尿外科学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主治医师</w:t>
            </w:r>
          </w:p>
        </w:tc>
        <w:tc>
          <w:tcPr>
            <w:tcW w:w="2563" w:type="dxa"/>
            <w:noWrap w:val="0"/>
            <w:vAlign w:val="center"/>
          </w:tcPr>
          <w:p>
            <w:pPr>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临床/外科学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医师</w:t>
            </w:r>
          </w:p>
        </w:tc>
        <w:tc>
          <w:tcPr>
            <w:tcW w:w="2563" w:type="dxa"/>
            <w:noWrap w:val="0"/>
            <w:vAlign w:val="center"/>
          </w:tcPr>
          <w:p>
            <w:pPr>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临床/外科学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重症医学科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重症医学、内、外科学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重症医学、内、外科学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重症医学、内、外科学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骨外科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骨外科学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临床/骨科</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骨科学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急诊医学科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副高以及上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急诊科学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临床/急诊科学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临床/急诊科学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肛肠科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执业医师及以上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临床/肛肠</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口腔科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口腔医学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口腔医学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口腔医学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眼科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眼科学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眼科学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临床/眼科学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耳鼻咽喉科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耳鼻咽喉科学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耳鼻咽喉科学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临床/耳鼻咽喉科学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超声功能科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医学影像学（超声）</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医学影像学（超声）</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医学影像学（超声）</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放射科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副高及以上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医学影像学（放射）</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both"/>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医学影像学（放射）</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both"/>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医学影像学（放射）</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药剂科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副主任药师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临床药学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药师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药学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检验科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技师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医学检验技术</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病理科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临床医学/医学检验</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整形外科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主治医师及以上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临床/整形</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临床/整形</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皮肤科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麻醉科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临床/麻醉学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疼痛科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临床/麻醉学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康复科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康复医学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体检科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营养科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医师及以上</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临床营养学</w:t>
            </w:r>
          </w:p>
        </w:tc>
        <w:tc>
          <w:tcPr>
            <w:tcW w:w="1337" w:type="dxa"/>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信息科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信息及相关专业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质控部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部长</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医务部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部长</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eastAsia"/>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eastAsia"/>
                <w:vertAlign w:val="baseline"/>
                <w:lang w:val="en-US" w:eastAsia="zh-CN"/>
              </w:rPr>
            </w:pPr>
            <w:r>
              <w:rPr>
                <w:rFonts w:hint="eastAsia"/>
                <w:vertAlign w:val="baseline"/>
                <w:lang w:val="en-US" w:eastAsia="zh-CN"/>
              </w:rPr>
              <w:t>临床医学/</w:t>
            </w:r>
          </w:p>
          <w:p>
            <w:pPr>
              <w:jc w:val="center"/>
              <w:rPr>
                <w:rFonts w:hint="default"/>
                <w:vertAlign w:val="baseline"/>
                <w:lang w:val="en-US" w:eastAsia="zh-CN"/>
              </w:rPr>
            </w:pPr>
            <w:r>
              <w:rPr>
                <w:rFonts w:hint="eastAsia"/>
                <w:vertAlign w:val="baseline"/>
                <w:lang w:val="en-US" w:eastAsia="zh-CN"/>
              </w:rPr>
              <w:t>公共卫生管理</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医院办公室</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主任</w:t>
            </w:r>
          </w:p>
        </w:tc>
        <w:tc>
          <w:tcPr>
            <w:tcW w:w="2563" w:type="dxa"/>
            <w:vMerge w:val="restart"/>
            <w:noWrap w:val="0"/>
            <w:vAlign w:val="center"/>
          </w:tcPr>
          <w:p>
            <w:pPr>
              <w:jc w:val="center"/>
              <w:rPr>
                <w:rFonts w:hint="eastAsia"/>
                <w:vertAlign w:val="baseline"/>
                <w:lang w:val="en-US" w:eastAsia="zh-CN"/>
              </w:rPr>
            </w:pPr>
            <w:r>
              <w:rPr>
                <w:rFonts w:hint="eastAsia"/>
                <w:vertAlign w:val="baseline"/>
                <w:lang w:val="en-US" w:eastAsia="zh-CN"/>
              </w:rPr>
              <w:t>汉语言文学/</w:t>
            </w:r>
          </w:p>
          <w:p>
            <w:pPr>
              <w:jc w:val="center"/>
              <w:rPr>
                <w:rFonts w:hint="default"/>
                <w:vertAlign w:val="baseline"/>
                <w:lang w:val="en-US" w:eastAsia="zh-CN"/>
              </w:rPr>
            </w:pPr>
            <w:r>
              <w:rPr>
                <w:rFonts w:hint="eastAsia"/>
                <w:vertAlign w:val="baseline"/>
                <w:lang w:val="en-US" w:eastAsia="zh-CN"/>
              </w:rPr>
              <w:t>公共事业管理</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vMerge w:val="continue"/>
            <w:noWrap w:val="0"/>
            <w:vAlign w:val="center"/>
          </w:tcPr>
          <w:p>
            <w:pPr>
              <w:jc w:val="center"/>
              <w:rPr>
                <w:rFonts w:hint="default"/>
                <w:vertAlign w:val="baseline"/>
                <w:lang w:val="en-US" w:eastAsia="zh-CN"/>
              </w:rPr>
            </w:pP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护理部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主任</w:t>
            </w:r>
          </w:p>
        </w:tc>
        <w:tc>
          <w:tcPr>
            <w:tcW w:w="2563" w:type="dxa"/>
            <w:vMerge w:val="restart"/>
            <w:noWrap w:val="0"/>
            <w:vAlign w:val="center"/>
          </w:tcPr>
          <w:p>
            <w:pPr>
              <w:jc w:val="center"/>
              <w:rPr>
                <w:rFonts w:hint="default"/>
                <w:vertAlign w:val="baseline"/>
                <w:lang w:val="en-US" w:eastAsia="zh-CN"/>
              </w:rPr>
            </w:pPr>
            <w:r>
              <w:rPr>
                <w:rFonts w:hint="eastAsia"/>
                <w:vertAlign w:val="baseline"/>
                <w:lang w:val="en-US" w:eastAsia="zh-CN"/>
              </w:rPr>
              <w:t>护理学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vMerge w:val="continue"/>
            <w:noWrap w:val="0"/>
            <w:vAlign w:val="center"/>
          </w:tcPr>
          <w:p>
            <w:pPr>
              <w:jc w:val="center"/>
              <w:rPr>
                <w:rFonts w:hint="default"/>
                <w:vertAlign w:val="baseline"/>
                <w:lang w:val="en-US" w:eastAsia="zh-CN"/>
              </w:rPr>
            </w:pP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人力资源部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部长</w:t>
            </w:r>
          </w:p>
        </w:tc>
        <w:tc>
          <w:tcPr>
            <w:tcW w:w="2563" w:type="dxa"/>
            <w:vMerge w:val="restart"/>
            <w:noWrap w:val="0"/>
            <w:vAlign w:val="center"/>
          </w:tcPr>
          <w:p>
            <w:pPr>
              <w:jc w:val="center"/>
              <w:rPr>
                <w:rFonts w:hint="eastAsia"/>
                <w:vertAlign w:val="baseline"/>
                <w:lang w:val="en-US" w:eastAsia="zh-CN"/>
              </w:rPr>
            </w:pPr>
            <w:r>
              <w:rPr>
                <w:rFonts w:hint="eastAsia"/>
                <w:vertAlign w:val="baseline"/>
                <w:lang w:val="en-US" w:eastAsia="zh-CN"/>
              </w:rPr>
              <w:t>人力资源管理/</w:t>
            </w:r>
          </w:p>
          <w:p>
            <w:pPr>
              <w:jc w:val="center"/>
              <w:rPr>
                <w:rFonts w:hint="default"/>
                <w:vertAlign w:val="baseline"/>
                <w:lang w:val="en-US" w:eastAsia="zh-CN"/>
              </w:rPr>
            </w:pPr>
            <w:r>
              <w:rPr>
                <w:rFonts w:hint="eastAsia"/>
                <w:vertAlign w:val="baseline"/>
                <w:lang w:val="en-US" w:eastAsia="zh-CN"/>
              </w:rPr>
              <w:t>公共卫生管理</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vMerge w:val="continue"/>
            <w:noWrap w:val="0"/>
            <w:vAlign w:val="center"/>
          </w:tcPr>
          <w:p>
            <w:pPr>
              <w:jc w:val="center"/>
              <w:rPr>
                <w:rFonts w:hint="default"/>
                <w:vertAlign w:val="baseline"/>
                <w:lang w:val="en-US" w:eastAsia="zh-CN"/>
              </w:rPr>
            </w:pP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财务部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会计</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会计学/财务管理</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医保科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劳动与社会保障</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预防保健科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预防医学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感控部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部长</w:t>
            </w:r>
          </w:p>
        </w:tc>
        <w:tc>
          <w:tcPr>
            <w:tcW w:w="2563" w:type="dxa"/>
            <w:noWrap w:val="0"/>
            <w:vAlign w:val="center"/>
          </w:tcPr>
          <w:p>
            <w:pPr>
              <w:jc w:val="center"/>
              <w:rPr>
                <w:rFonts w:hint="eastAsia"/>
                <w:vertAlign w:val="baseline"/>
                <w:lang w:val="en-US" w:eastAsia="zh-CN"/>
              </w:rPr>
            </w:pPr>
            <w:r>
              <w:rPr>
                <w:rFonts w:hint="eastAsia"/>
                <w:vertAlign w:val="baseline"/>
                <w:lang w:val="en-US" w:eastAsia="zh-CN"/>
              </w:rPr>
              <w:t>预防医学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预防医学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后勤保障部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部长</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设备及物流管理等相关专业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设备及物流管理等相关专业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采供科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noWrap w:val="0"/>
            <w:vAlign w:val="center"/>
          </w:tcPr>
          <w:p>
            <w:pPr>
              <w:tabs>
                <w:tab w:val="left" w:pos="539"/>
                <w:tab w:val="center" w:pos="1026"/>
              </w:tabs>
              <w:jc w:val="center"/>
              <w:rPr>
                <w:rFonts w:hint="default"/>
                <w:vertAlign w:val="baseline"/>
                <w:lang w:val="en-US" w:eastAsia="zh-CN"/>
              </w:rPr>
            </w:pPr>
            <w:r>
              <w:rPr>
                <w:rFonts w:hint="eastAsia"/>
                <w:vertAlign w:val="baseline"/>
                <w:lang w:val="en-US" w:eastAsia="zh-CN"/>
              </w:rPr>
              <w:t>设备及物流管理等相关专业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病案统计科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科长</w:t>
            </w:r>
          </w:p>
        </w:tc>
        <w:tc>
          <w:tcPr>
            <w:tcW w:w="2563" w:type="dxa"/>
            <w:vMerge w:val="restart"/>
            <w:noWrap w:val="0"/>
            <w:vAlign w:val="center"/>
          </w:tcPr>
          <w:p>
            <w:pPr>
              <w:jc w:val="center"/>
              <w:rPr>
                <w:rFonts w:hint="default"/>
                <w:vertAlign w:val="baseline"/>
                <w:lang w:val="en-US" w:eastAsia="zh-CN"/>
              </w:rPr>
            </w:pPr>
            <w:r>
              <w:rPr>
                <w:rFonts w:hint="eastAsia"/>
                <w:vertAlign w:val="baseline"/>
                <w:lang w:val="en-US" w:eastAsia="zh-CN"/>
              </w:rPr>
              <w:t>病案信息管理</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vMerge w:val="continue"/>
            <w:noWrap w:val="0"/>
            <w:vAlign w:val="center"/>
          </w:tcPr>
          <w:p>
            <w:pPr>
              <w:jc w:val="center"/>
              <w:rPr>
                <w:rFonts w:hint="default"/>
                <w:vertAlign w:val="baseline"/>
                <w:lang w:val="en-US" w:eastAsia="zh-CN"/>
              </w:rPr>
            </w:pP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保卫科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科长</w:t>
            </w:r>
          </w:p>
        </w:tc>
        <w:tc>
          <w:tcPr>
            <w:tcW w:w="2563" w:type="dxa"/>
            <w:vMerge w:val="restart"/>
            <w:noWrap w:val="0"/>
            <w:vAlign w:val="center"/>
          </w:tcPr>
          <w:p>
            <w:pPr>
              <w:jc w:val="center"/>
              <w:rPr>
                <w:rFonts w:hint="default"/>
                <w:vertAlign w:val="baseline"/>
                <w:lang w:val="en-US" w:eastAsia="zh-CN"/>
              </w:rPr>
            </w:pPr>
            <w:r>
              <w:rPr>
                <w:rFonts w:hint="eastAsia"/>
                <w:vertAlign w:val="baseline"/>
                <w:lang w:val="en-US" w:eastAsia="zh-CN"/>
              </w:rPr>
              <w:t>不限专业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vMerge w:val="continue"/>
            <w:noWrap w:val="0"/>
            <w:vAlign w:val="center"/>
          </w:tcPr>
          <w:p>
            <w:pPr>
              <w:jc w:val="center"/>
              <w:rPr>
                <w:rFonts w:hint="default"/>
                <w:vertAlign w:val="baseline"/>
                <w:lang w:val="en-US" w:eastAsia="zh-CN"/>
              </w:rPr>
            </w:pP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设备科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工程师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生物医学工程等相关专业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科教部</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部长</w:t>
            </w:r>
          </w:p>
        </w:tc>
        <w:tc>
          <w:tcPr>
            <w:tcW w:w="2563" w:type="dxa"/>
            <w:vMerge w:val="restart"/>
            <w:noWrap w:val="0"/>
            <w:vAlign w:val="center"/>
          </w:tcPr>
          <w:p>
            <w:pPr>
              <w:jc w:val="center"/>
              <w:rPr>
                <w:rFonts w:hint="default"/>
                <w:vertAlign w:val="baseline"/>
                <w:lang w:val="en-US" w:eastAsia="zh-CN"/>
              </w:rPr>
            </w:pPr>
            <w:r>
              <w:rPr>
                <w:rFonts w:hint="eastAsia"/>
                <w:vertAlign w:val="baseline"/>
                <w:lang w:val="en-US" w:eastAsia="zh-CN"/>
              </w:rPr>
              <w:t>医学相关专业</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干事</w:t>
            </w:r>
          </w:p>
        </w:tc>
        <w:tc>
          <w:tcPr>
            <w:tcW w:w="2563" w:type="dxa"/>
            <w:vMerge w:val="continue"/>
            <w:noWrap w:val="0"/>
            <w:vAlign w:val="center"/>
          </w:tcPr>
          <w:p>
            <w:pPr>
              <w:jc w:val="center"/>
              <w:rPr>
                <w:rFonts w:hint="default"/>
                <w:vertAlign w:val="baseline"/>
                <w:lang w:val="en-US" w:eastAsia="zh-CN"/>
              </w:rPr>
            </w:pP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pPr>
              <w:jc w:val="center"/>
              <w:rPr>
                <w:rFonts w:hint="default"/>
                <w:vertAlign w:val="baseline"/>
                <w:lang w:val="en-US" w:eastAsia="zh-CN"/>
              </w:rPr>
            </w:pPr>
            <w:r>
              <w:rPr>
                <w:rFonts w:hint="eastAsia"/>
                <w:vertAlign w:val="baseline"/>
                <w:lang w:val="en-US" w:eastAsia="zh-CN"/>
              </w:rPr>
              <w:t>临床科室</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应往届毕业生</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临床医学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主管护师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护理学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15-20人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护师</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护理学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50-80人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pPr>
              <w:jc w:val="center"/>
              <w:rPr>
                <w:rFonts w:hint="default"/>
                <w:vertAlign w:val="baseline"/>
                <w:lang w:val="en-US" w:eastAsia="zh-CN"/>
              </w:rPr>
            </w:pP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护士</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护理学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jc w:val="center"/>
              <w:rPr>
                <w:rFonts w:hint="default"/>
                <w:vertAlign w:val="baseline"/>
                <w:lang w:val="en-US" w:eastAsia="zh-CN"/>
              </w:rPr>
            </w:pPr>
            <w:r>
              <w:rPr>
                <w:rFonts w:hint="eastAsia"/>
                <w:vertAlign w:val="baseline"/>
                <w:lang w:val="en-US" w:eastAsia="zh-CN"/>
              </w:rPr>
              <w:t>妇产科</w:t>
            </w:r>
          </w:p>
        </w:tc>
        <w:tc>
          <w:tcPr>
            <w:tcW w:w="2046" w:type="dxa"/>
            <w:noWrap w:val="0"/>
            <w:vAlign w:val="center"/>
          </w:tcPr>
          <w:p>
            <w:pPr>
              <w:jc w:val="center"/>
              <w:rPr>
                <w:rFonts w:hint="default"/>
                <w:vertAlign w:val="baseline"/>
                <w:lang w:val="en-US" w:eastAsia="zh-CN"/>
              </w:rPr>
            </w:pPr>
            <w:r>
              <w:rPr>
                <w:rFonts w:hint="eastAsia"/>
                <w:vertAlign w:val="baseline"/>
                <w:lang w:val="en-US" w:eastAsia="zh-CN"/>
              </w:rPr>
              <w:t>助产士</w:t>
            </w:r>
          </w:p>
        </w:tc>
        <w:tc>
          <w:tcPr>
            <w:tcW w:w="2563" w:type="dxa"/>
            <w:noWrap w:val="0"/>
            <w:vAlign w:val="center"/>
          </w:tcPr>
          <w:p>
            <w:pPr>
              <w:jc w:val="center"/>
              <w:rPr>
                <w:rFonts w:hint="default"/>
                <w:vertAlign w:val="baseline"/>
                <w:lang w:val="en-US" w:eastAsia="zh-CN"/>
              </w:rPr>
            </w:pPr>
            <w:r>
              <w:rPr>
                <w:rFonts w:hint="eastAsia"/>
                <w:vertAlign w:val="baseline"/>
                <w:lang w:val="en-US" w:eastAsia="zh-CN"/>
              </w:rPr>
              <w:t>助产学/护理学</w:t>
            </w:r>
          </w:p>
        </w:tc>
        <w:tc>
          <w:tcPr>
            <w:tcW w:w="1337" w:type="dxa"/>
            <w:noWrap w:val="0"/>
            <w:vAlign w:val="center"/>
          </w:tcPr>
          <w:p>
            <w:pPr>
              <w:jc w:val="center"/>
              <w:rPr>
                <w:rFonts w:hint="default"/>
                <w:vertAlign w:val="baseline"/>
                <w:lang w:val="en-US" w:eastAsia="zh-CN"/>
              </w:rPr>
            </w:pPr>
            <w:r>
              <w:rPr>
                <w:rFonts w:hint="eastAsia"/>
                <w:vertAlign w:val="baseline"/>
                <w:lang w:val="en-US" w:eastAsia="zh-CN"/>
              </w:rPr>
              <w:t>3-5人</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简历投递</w:t>
      </w:r>
      <w:r>
        <w:rPr>
          <w:rFonts w:hint="eastAsia" w:ascii="仿宋" w:hAnsi="仿宋" w:eastAsia="仿宋" w:cs="仿宋"/>
          <w:sz w:val="30"/>
          <w:szCs w:val="30"/>
          <w:lang w:val="en-US" w:eastAsia="zh-CN"/>
        </w:rPr>
        <w:t>方式：</w:t>
      </w:r>
    </w:p>
    <w:p>
      <w:pP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邮箱</w:t>
      </w:r>
      <w:r>
        <w:rPr>
          <w:rFonts w:hint="eastAsia" w:ascii="仿宋" w:hAnsi="仿宋" w:eastAsia="仿宋" w:cs="仿宋"/>
          <w:sz w:val="30"/>
          <w:szCs w:val="30"/>
          <w:lang w:val="en-US" w:eastAsia="zh-CN"/>
        </w:rPr>
        <w:t>简历</w:t>
      </w:r>
      <w:r>
        <w:rPr>
          <w:rFonts w:hint="default" w:ascii="仿宋" w:hAnsi="仿宋" w:eastAsia="仿宋" w:cs="仿宋"/>
          <w:sz w:val="30"/>
          <w:szCs w:val="30"/>
          <w:lang w:val="en-US" w:eastAsia="zh-CN"/>
        </w:rPr>
        <w:t>投递</w:t>
      </w:r>
    </w:p>
    <w:p>
      <w:pP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格式：姓名+学历+应聘岗位+职称</w:t>
      </w:r>
    </w:p>
    <w:p>
      <w:pP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邮箱：</w:t>
      </w:r>
      <w:r>
        <w:rPr>
          <w:rFonts w:hint="default" w:ascii="仿宋" w:hAnsi="仿宋" w:eastAsia="仿宋" w:cs="仿宋"/>
          <w:sz w:val="30"/>
          <w:szCs w:val="30"/>
          <w:lang w:val="en-US" w:eastAsia="zh-CN"/>
        </w:rPr>
        <w:fldChar w:fldCharType="begin"/>
      </w:r>
      <w:r>
        <w:rPr>
          <w:rFonts w:hint="default" w:ascii="仿宋" w:hAnsi="仿宋" w:eastAsia="仿宋" w:cs="仿宋"/>
          <w:sz w:val="30"/>
          <w:szCs w:val="30"/>
          <w:lang w:val="en-US" w:eastAsia="zh-CN"/>
        </w:rPr>
        <w:instrText xml:space="preserve"> HYPERLINK "mailto:xdyy2003@126.com" </w:instrText>
      </w:r>
      <w:r>
        <w:rPr>
          <w:rFonts w:hint="default" w:ascii="仿宋" w:hAnsi="仿宋" w:eastAsia="仿宋" w:cs="仿宋"/>
          <w:sz w:val="30"/>
          <w:szCs w:val="30"/>
          <w:lang w:val="en-US" w:eastAsia="zh-CN"/>
        </w:rPr>
        <w:fldChar w:fldCharType="separate"/>
      </w:r>
      <w:r>
        <w:rPr>
          <w:rStyle w:val="7"/>
          <w:rFonts w:hint="default" w:ascii="仿宋" w:hAnsi="仿宋" w:eastAsia="仿宋" w:cs="仿宋"/>
          <w:sz w:val="30"/>
          <w:szCs w:val="30"/>
          <w:lang w:val="en-US" w:eastAsia="zh-CN"/>
        </w:rPr>
        <w:t>xdyy2003@126.com</w:t>
      </w:r>
      <w:r>
        <w:rPr>
          <w:rFonts w:hint="default" w:ascii="仿宋" w:hAnsi="仿宋" w:eastAsia="仿宋" w:cs="仿宋"/>
          <w:sz w:val="30"/>
          <w:szCs w:val="30"/>
          <w:lang w:val="en-US" w:eastAsia="zh-CN"/>
        </w:rPr>
        <w:fldChar w:fldCharType="end"/>
      </w:r>
    </w:p>
    <w:p>
      <w:pPr>
        <w:jc w:val="left"/>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现场简历投递</w:t>
      </w:r>
    </w:p>
    <w:p>
      <w:pPr>
        <w:jc w:val="left"/>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须携带</w:t>
      </w:r>
      <w:r>
        <w:rPr>
          <w:rFonts w:hint="eastAsia" w:ascii="仿宋" w:hAnsi="仿宋" w:eastAsia="仿宋" w:cs="仿宋"/>
          <w:sz w:val="30"/>
          <w:szCs w:val="30"/>
          <w:lang w:val="en-US" w:eastAsia="zh-CN"/>
        </w:rPr>
        <w:t>个人简历、</w:t>
      </w:r>
      <w:r>
        <w:rPr>
          <w:rFonts w:hint="default" w:ascii="仿宋" w:hAnsi="仿宋" w:eastAsia="仿宋" w:cs="仿宋"/>
          <w:sz w:val="30"/>
          <w:szCs w:val="30"/>
          <w:lang w:val="en-US" w:eastAsia="zh-CN"/>
        </w:rPr>
        <w:t>执业证、资格证、职称证、身份证、毕业证、学位证及其他相关证书的原件及复印件以备查验。</w:t>
      </w:r>
    </w:p>
    <w:p>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武侯院区联系方式：</w:t>
      </w:r>
      <w:bookmarkStart w:id="0" w:name="_GoBack"/>
      <w:bookmarkEnd w:id="0"/>
      <w:r>
        <w:rPr>
          <w:rFonts w:hint="default" w:ascii="仿宋" w:hAnsi="仿宋" w:eastAsia="仿宋" w:cs="仿宋"/>
          <w:sz w:val="30"/>
          <w:szCs w:val="30"/>
          <w:lang w:val="en-US" w:eastAsia="zh-CN"/>
        </w:rPr>
        <w:t>028-68711006</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15882256120</w:t>
      </w:r>
      <w:r>
        <w:rPr>
          <w:rFonts w:hint="eastAsia" w:ascii="仿宋" w:hAnsi="仿宋" w:eastAsia="仿宋" w:cs="仿宋"/>
          <w:sz w:val="30"/>
          <w:szCs w:val="30"/>
          <w:lang w:val="en-US" w:eastAsia="zh-CN"/>
        </w:rPr>
        <w:t>/18980557997</w:t>
      </w:r>
    </w:p>
    <w:p>
      <w:pP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武侯院区地址：成都市武侯区武兴一路118号A区10楼</w:t>
      </w:r>
      <w:r>
        <w:rPr>
          <w:rFonts w:hint="eastAsia" w:ascii="仿宋" w:hAnsi="仿宋" w:eastAsia="仿宋" w:cs="仿宋"/>
          <w:sz w:val="30"/>
          <w:szCs w:val="30"/>
          <w:lang w:val="en-US" w:eastAsia="zh-CN"/>
        </w:rPr>
        <w:t>人力资源</w:t>
      </w:r>
      <w:r>
        <w:rPr>
          <w:rFonts w:hint="default" w:ascii="仿宋" w:hAnsi="仿宋" w:eastAsia="仿宋" w:cs="仿宋"/>
          <w:sz w:val="30"/>
          <w:szCs w:val="30"/>
          <w:lang w:val="en-US" w:eastAsia="zh-CN"/>
        </w:rPr>
        <w:t>部</w:t>
      </w:r>
    </w:p>
    <w:p>
      <w:pPr>
        <w:jc w:val="left"/>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高新院区联系</w:t>
      </w:r>
      <w:r>
        <w:rPr>
          <w:rFonts w:hint="eastAsia" w:ascii="仿宋" w:hAnsi="仿宋" w:eastAsia="仿宋" w:cs="仿宋"/>
          <w:sz w:val="30"/>
          <w:szCs w:val="30"/>
          <w:lang w:val="en-US" w:eastAsia="zh-CN"/>
        </w:rPr>
        <w:t>方式</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028-60207030/15882256120/15719462268/18328696261</w:t>
      </w:r>
    </w:p>
    <w:p>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高新院区地址：</w:t>
      </w:r>
      <w:r>
        <w:rPr>
          <w:rFonts w:hint="default" w:ascii="仿宋" w:hAnsi="仿宋" w:eastAsia="仿宋" w:cs="仿宋"/>
          <w:sz w:val="30"/>
          <w:szCs w:val="30"/>
          <w:lang w:val="en-US" w:eastAsia="zh-CN"/>
        </w:rPr>
        <w:t>成都市高新区中和街道仁和路713号25楼</w:t>
      </w:r>
      <w:r>
        <w:rPr>
          <w:rFonts w:hint="eastAsia" w:ascii="仿宋" w:hAnsi="仿宋" w:eastAsia="仿宋" w:cs="仿宋"/>
          <w:sz w:val="30"/>
          <w:szCs w:val="30"/>
          <w:lang w:val="en-US" w:eastAsia="zh-CN"/>
        </w:rPr>
        <w:t>人力资源</w:t>
      </w:r>
      <w:r>
        <w:rPr>
          <w:rFonts w:hint="default" w:ascii="仿宋" w:hAnsi="仿宋" w:eastAsia="仿宋" w:cs="仿宋"/>
          <w:sz w:val="30"/>
          <w:szCs w:val="30"/>
          <w:lang w:val="en-US" w:eastAsia="zh-CN"/>
        </w:rPr>
        <w:t>部</w:t>
      </w:r>
    </w:p>
    <w:p>
      <w:pPr>
        <w:numPr>
          <w:ilvl w:val="0"/>
          <w:numId w:val="0"/>
        </w:num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四川现代医院现诚挚邀请您加入我院卫生医疗队伍，为我院发展贡献一份力量，更多医院及科室详情可进入官网了解。官网：http://www.scxdyy.com/</w:t>
      </w:r>
    </w:p>
    <w:p>
      <w:pPr>
        <w:widowControl w:val="0"/>
        <w:numPr>
          <w:ilvl w:val="0"/>
          <w:numId w:val="0"/>
        </w:numPr>
        <w:jc w:val="left"/>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三、科室介绍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医院大力推进“人才强院”战略</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医院拥有一批优势学科群和科研平台，区域内综合优势明显。目前开设有内科（呼吸内科、消化内科、神经内科、心血管内科、血液内科、肾内科（</w:t>
      </w:r>
      <w:r>
        <w:rPr>
          <w:rFonts w:hint="eastAsia" w:ascii="仿宋" w:hAnsi="仿宋" w:eastAsia="仿宋" w:cs="仿宋"/>
          <w:sz w:val="30"/>
          <w:szCs w:val="30"/>
          <w:lang w:val="en-US" w:eastAsia="zh-CN"/>
        </w:rPr>
        <w:t>血液</w:t>
      </w:r>
      <w:r>
        <w:rPr>
          <w:rFonts w:hint="default" w:ascii="仿宋" w:hAnsi="仿宋" w:eastAsia="仿宋" w:cs="仿宋"/>
          <w:sz w:val="30"/>
          <w:szCs w:val="30"/>
          <w:lang w:val="en-US" w:eastAsia="zh-CN"/>
        </w:rPr>
        <w:t>透析）、内分泌科、免疫科、老年病科、外科（手外科与显微外科、骨科、普通外科、神经外科、泌尿外科、胸外科、烧伤科、整形外科）、妇产科、儿科、眼科、耳鼻咽喉科、口腔科、皮肤科、医学美容科、健康体检科、急诊医学科、康复医学科、运动医学科、麻醉科、疼痛科、重症医学科、检验科、病理科、放射科、超声功能科、中医科、中医骨伤科、肛肠科、介入科、中西医结合科等40多个临床医技科室。</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drawing>
          <wp:inline distT="0" distB="0" distL="0" distR="0">
            <wp:extent cx="5266690" cy="2596515"/>
            <wp:effectExtent l="0" t="0" r="10160" b="13335"/>
            <wp:docPr id="1032" name="图片 18" descr="8b70c0b7b11549dc45912276ce0675d"/>
            <wp:cNvGraphicFramePr/>
            <a:graphic xmlns:a="http://schemas.openxmlformats.org/drawingml/2006/main">
              <a:graphicData uri="http://schemas.openxmlformats.org/drawingml/2006/picture">
                <pic:pic xmlns:pic="http://schemas.openxmlformats.org/drawingml/2006/picture">
                  <pic:nvPicPr>
                    <pic:cNvPr id="1032" name="图片 18" descr="8b70c0b7b11549dc45912276ce0675d"/>
                    <pic:cNvPicPr/>
                  </pic:nvPicPr>
                  <pic:blipFill>
                    <a:blip r:embed="rId6" cstate="print"/>
                    <a:srcRect/>
                    <a:stretch>
                      <a:fillRect/>
                    </a:stretch>
                  </pic:blipFill>
                  <pic:spPr>
                    <a:xfrm>
                      <a:off x="0" y="0"/>
                      <a:ext cx="5266690" cy="25965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drawing>
          <wp:inline distT="0" distB="0" distL="0" distR="0">
            <wp:extent cx="5266690" cy="2409190"/>
            <wp:effectExtent l="0" t="0" r="10160" b="10160"/>
            <wp:docPr id="1033" name="图片 19" descr="9959a28be874e158bfd6591014f480d"/>
            <wp:cNvGraphicFramePr/>
            <a:graphic xmlns:a="http://schemas.openxmlformats.org/drawingml/2006/main">
              <a:graphicData uri="http://schemas.openxmlformats.org/drawingml/2006/picture">
                <pic:pic xmlns:pic="http://schemas.openxmlformats.org/drawingml/2006/picture">
                  <pic:nvPicPr>
                    <pic:cNvPr id="1033" name="图片 19" descr="9959a28be874e158bfd6591014f480d"/>
                    <pic:cNvPicPr/>
                  </pic:nvPicPr>
                  <pic:blipFill>
                    <a:blip r:embed="rId7" cstate="print"/>
                    <a:srcRect/>
                    <a:stretch>
                      <a:fillRect/>
                    </a:stretch>
                  </pic:blipFill>
                  <pic:spPr>
                    <a:xfrm>
                      <a:off x="0" y="0"/>
                      <a:ext cx="5266690" cy="2409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drawing>
          <wp:inline distT="0" distB="0" distL="0" distR="0">
            <wp:extent cx="5266690" cy="3033395"/>
            <wp:effectExtent l="0" t="0" r="10160" b="14605"/>
            <wp:docPr id="1034" name="图片 20" descr="d218c41dcbf3c6399eadffbc75bed96"/>
            <wp:cNvGraphicFramePr/>
            <a:graphic xmlns:a="http://schemas.openxmlformats.org/drawingml/2006/main">
              <a:graphicData uri="http://schemas.openxmlformats.org/drawingml/2006/picture">
                <pic:pic xmlns:pic="http://schemas.openxmlformats.org/drawingml/2006/picture">
                  <pic:nvPicPr>
                    <pic:cNvPr id="1034" name="图片 20" descr="d218c41dcbf3c6399eadffbc75bed96"/>
                    <pic:cNvPicPr/>
                  </pic:nvPicPr>
                  <pic:blipFill>
                    <a:blip r:embed="rId8" cstate="print"/>
                    <a:srcRect/>
                    <a:stretch>
                      <a:fillRect/>
                    </a:stretch>
                  </pic:blipFill>
                  <pic:spPr>
                    <a:xfrm>
                      <a:off x="0" y="0"/>
                      <a:ext cx="5266690" cy="3033395"/>
                    </a:xfrm>
                    <a:prstGeom prst="rect">
                      <a:avLst/>
                    </a:prstGeom>
                  </pic:spPr>
                </pic:pic>
              </a:graphicData>
            </a:graphic>
          </wp:inline>
        </w:drawing>
      </w:r>
    </w:p>
    <w:p>
      <w:pP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四、设备设施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医院诊疗设备先进，拥有从美国GE公司原装进口的1.5T超导磁共振、64排128层螺旋CT、悬吊和立柱DR、四维彩超及心脏血管彩超；以及德国西门子1.5T超导磁共振，64排128层螺旋CT，悬吊DR；史塞克等公司提供的腕、肩、膝关节镜及腹腔镜胆道镜系统；奥林巴斯等公司提供的胃肠镜、纤支镜、前列腺电切镜、输尿管镜、经皮肾镜等大批先进医疗设备，整体配套齐全，达国内同类医院先进水平。医院注重信息化建设，着力打造现代化、智慧型医院，以HIS、EMR、PACS、LIS、OA系统为主导的高效信息系统，逐步构筑起达国内先进的数字化医院信息平台</w:t>
      </w:r>
      <w:r>
        <w:rPr>
          <w:rFonts w:hint="eastAsia" w:ascii="仿宋" w:hAnsi="仿宋" w:eastAsia="仿宋" w:cs="仿宋"/>
          <w:sz w:val="30"/>
          <w:szCs w:val="30"/>
          <w:lang w:val="en-US" w:eastAsia="zh-CN"/>
        </w:rPr>
        <w:t>。</w:t>
      </w:r>
    </w:p>
    <w:p>
      <w:pP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drawing>
          <wp:inline distT="0" distB="0" distL="0" distR="0">
            <wp:extent cx="5266690" cy="2403475"/>
            <wp:effectExtent l="0" t="0" r="10160" b="15875"/>
            <wp:docPr id="1035" name="图片 21" descr="750c8e891a88ef4c84be49911191ffd"/>
            <wp:cNvGraphicFramePr/>
            <a:graphic xmlns:a="http://schemas.openxmlformats.org/drawingml/2006/main">
              <a:graphicData uri="http://schemas.openxmlformats.org/drawingml/2006/picture">
                <pic:pic xmlns:pic="http://schemas.openxmlformats.org/drawingml/2006/picture">
                  <pic:nvPicPr>
                    <pic:cNvPr id="1035" name="图片 21" descr="750c8e891a88ef4c84be49911191ffd"/>
                    <pic:cNvPicPr/>
                  </pic:nvPicPr>
                  <pic:blipFill>
                    <a:blip r:embed="rId9" cstate="print"/>
                    <a:srcRect/>
                    <a:stretch>
                      <a:fillRect/>
                    </a:stretch>
                  </pic:blipFill>
                  <pic:spPr>
                    <a:xfrm>
                      <a:off x="0" y="0"/>
                      <a:ext cx="5266690" cy="2403475"/>
                    </a:xfrm>
                    <a:prstGeom prst="rect">
                      <a:avLst/>
                    </a:prstGeom>
                  </pic:spPr>
                </pic:pic>
              </a:graphicData>
            </a:graphic>
          </wp:inline>
        </w:drawing>
      </w:r>
    </w:p>
    <w:p>
      <w:pP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drawing>
          <wp:inline distT="0" distB="0" distL="0" distR="0">
            <wp:extent cx="5266055" cy="2218055"/>
            <wp:effectExtent l="0" t="0" r="10795" b="10795"/>
            <wp:docPr id="1036" name="图片 22" descr="ef22676e049b655e5baab5e2658003f"/>
            <wp:cNvGraphicFramePr/>
            <a:graphic xmlns:a="http://schemas.openxmlformats.org/drawingml/2006/main">
              <a:graphicData uri="http://schemas.openxmlformats.org/drawingml/2006/picture">
                <pic:pic xmlns:pic="http://schemas.openxmlformats.org/drawingml/2006/picture">
                  <pic:nvPicPr>
                    <pic:cNvPr id="1036" name="图片 22" descr="ef22676e049b655e5baab5e2658003f"/>
                    <pic:cNvPicPr/>
                  </pic:nvPicPr>
                  <pic:blipFill>
                    <a:blip r:embed="rId10" cstate="print"/>
                    <a:srcRect/>
                    <a:stretch>
                      <a:fillRect/>
                    </a:stretch>
                  </pic:blipFill>
                  <pic:spPr>
                    <a:xfrm>
                      <a:off x="0" y="0"/>
                      <a:ext cx="5266055" cy="2218055"/>
                    </a:xfrm>
                    <a:prstGeom prst="rect">
                      <a:avLst/>
                    </a:prstGeom>
                  </pic:spPr>
                </pic:pic>
              </a:graphicData>
            </a:graphic>
          </wp:inline>
        </w:drawing>
      </w:r>
    </w:p>
    <w:p>
      <w:pPr>
        <w:numPr>
          <w:ilvl w:val="0"/>
          <w:numId w:val="0"/>
        </w:numP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drawing>
          <wp:inline distT="0" distB="0" distL="0" distR="0">
            <wp:extent cx="5266690" cy="2710180"/>
            <wp:effectExtent l="0" t="0" r="10160" b="13970"/>
            <wp:docPr id="1037" name="图片 24" descr="87d8e773a8a1ce15ce60bc04384aef5"/>
            <wp:cNvGraphicFramePr/>
            <a:graphic xmlns:a="http://schemas.openxmlformats.org/drawingml/2006/main">
              <a:graphicData uri="http://schemas.openxmlformats.org/drawingml/2006/picture">
                <pic:pic xmlns:pic="http://schemas.openxmlformats.org/drawingml/2006/picture">
                  <pic:nvPicPr>
                    <pic:cNvPr id="1037" name="图片 24" descr="87d8e773a8a1ce15ce60bc04384aef5"/>
                    <pic:cNvPicPr/>
                  </pic:nvPicPr>
                  <pic:blipFill>
                    <a:blip r:embed="rId11" cstate="print"/>
                    <a:srcRect/>
                    <a:stretch>
                      <a:fillRect/>
                    </a:stretch>
                  </pic:blipFill>
                  <pic:spPr>
                    <a:xfrm>
                      <a:off x="0" y="0"/>
                      <a:ext cx="5266690" cy="2710180"/>
                    </a:xfrm>
                    <a:prstGeom prst="rect">
                      <a:avLst/>
                    </a:prstGeom>
                  </pic:spPr>
                </pic:pic>
              </a:graphicData>
            </a:graphic>
          </wp:inline>
        </w:drawing>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565D5"/>
    <w:multiLevelType w:val="singleLevel"/>
    <w:tmpl w:val="454565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42D5"/>
    <w:rsid w:val="03237E67"/>
    <w:rsid w:val="04B12BAD"/>
    <w:rsid w:val="057D18A9"/>
    <w:rsid w:val="12A44D85"/>
    <w:rsid w:val="15A9459E"/>
    <w:rsid w:val="16EE5C01"/>
    <w:rsid w:val="1BB715EE"/>
    <w:rsid w:val="1FE95E4D"/>
    <w:rsid w:val="232549FF"/>
    <w:rsid w:val="232632CB"/>
    <w:rsid w:val="2CFF505B"/>
    <w:rsid w:val="2DA33CFE"/>
    <w:rsid w:val="309C6C99"/>
    <w:rsid w:val="324A123A"/>
    <w:rsid w:val="34AA1521"/>
    <w:rsid w:val="38763E48"/>
    <w:rsid w:val="3DE209C5"/>
    <w:rsid w:val="3DE91710"/>
    <w:rsid w:val="3EAF34FC"/>
    <w:rsid w:val="3F0D0681"/>
    <w:rsid w:val="419D4E6E"/>
    <w:rsid w:val="434046AC"/>
    <w:rsid w:val="44A16B06"/>
    <w:rsid w:val="4A5462D1"/>
    <w:rsid w:val="4C760C2A"/>
    <w:rsid w:val="4CD90E2C"/>
    <w:rsid w:val="4CE27ED5"/>
    <w:rsid w:val="511757D6"/>
    <w:rsid w:val="52F2672C"/>
    <w:rsid w:val="551044A1"/>
    <w:rsid w:val="57B15FF4"/>
    <w:rsid w:val="57B444A5"/>
    <w:rsid w:val="5850054A"/>
    <w:rsid w:val="5BAF7744"/>
    <w:rsid w:val="5D832C7F"/>
    <w:rsid w:val="5F502495"/>
    <w:rsid w:val="6000764E"/>
    <w:rsid w:val="65287868"/>
    <w:rsid w:val="660753FD"/>
    <w:rsid w:val="66A16C6E"/>
    <w:rsid w:val="67CD7C3A"/>
    <w:rsid w:val="6A695CBD"/>
    <w:rsid w:val="6D625313"/>
    <w:rsid w:val="6E2867A2"/>
    <w:rsid w:val="6E47779F"/>
    <w:rsid w:val="6F337B5D"/>
    <w:rsid w:val="71B45567"/>
    <w:rsid w:val="73EB10FB"/>
    <w:rsid w:val="75BA0E72"/>
    <w:rsid w:val="76687B66"/>
    <w:rsid w:val="78470A5C"/>
    <w:rsid w:val="7B8F72B3"/>
    <w:rsid w:val="7CBE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无知山谷</cp:lastModifiedBy>
  <cp:lastPrinted>2020-11-23T00:44:00Z</cp:lastPrinted>
  <dcterms:modified xsi:type="dcterms:W3CDTF">2020-11-24T07:39:44Z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